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46" w:rsidRPr="00D242AF" w:rsidRDefault="00DC3246" w:rsidP="00D242AF">
      <w:pPr>
        <w:spacing w:after="150" w:line="420" w:lineRule="atLeast"/>
        <w:jc w:val="center"/>
        <w:textAlignment w:val="baseline"/>
        <w:outlineLvl w:val="0"/>
        <w:rPr>
          <w:rFonts w:ascii="Times New Roman" w:eastAsia="Times New Roman" w:hAnsi="Times New Roman" w:cs="Times New Roman"/>
          <w:b/>
          <w:bCs/>
          <w:color w:val="333333"/>
          <w:kern w:val="36"/>
          <w:sz w:val="32"/>
          <w:szCs w:val="32"/>
        </w:rPr>
      </w:pPr>
      <w:r w:rsidRPr="00D242AF">
        <w:rPr>
          <w:rFonts w:ascii="Times New Roman" w:eastAsia="Times New Roman" w:hAnsi="Times New Roman" w:cs="Times New Roman"/>
          <w:b/>
          <w:bCs/>
          <w:color w:val="333333"/>
          <w:kern w:val="36"/>
          <w:sz w:val="32"/>
          <w:szCs w:val="32"/>
        </w:rPr>
        <w:t>Những điểm mới của Luật Đầu tư (sửa đổi)</w:t>
      </w:r>
    </w:p>
    <w:p w:rsidR="00D242AF" w:rsidRDefault="00D242AF" w:rsidP="00DC3246">
      <w:pPr>
        <w:spacing w:after="150" w:line="240" w:lineRule="auto"/>
        <w:jc w:val="both"/>
        <w:textAlignment w:val="baseline"/>
        <w:rPr>
          <w:rFonts w:ascii="Times New Roman" w:eastAsia="Times New Roman" w:hAnsi="Times New Roman" w:cs="Times New Roman"/>
          <w:color w:val="333333"/>
          <w:sz w:val="26"/>
          <w:szCs w:val="26"/>
        </w:rPr>
      </w:pPr>
    </w:p>
    <w:p w:rsidR="00DC3246" w:rsidRPr="00DC3246" w:rsidRDefault="00DC3246" w:rsidP="00D242AF">
      <w:pPr>
        <w:spacing w:after="150"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Luật Đầu tư 2020 gồm có 7 chương, 77 điều và 4 phụ lục. Luật này cấm đầu tư kinh doanh 8 lĩnh vực, bao gồm: Kinh doanh các chất ma túy; Kinh doanh các loại hóa chất, khoáng vật; Kinh doanh mẫu vật các loài thực vật, động vật hoang dã có nguồn gốc khai thác từ tự nhiên; Kinh doanh mại dâm; Mua, bán người, mô, xác, bộ phận cơ thể người, bào thai người; Hoạt động kinh doanh liên quan đến sinh sản vô tính trên người; Kinh doanh pháo nổ; Kinh doanh dịch vụ đòi nợ.</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Những điểm mới của Luật Đầu tư 2020</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b/>
          <w:bCs/>
          <w:color w:val="333333"/>
          <w:sz w:val="26"/>
          <w:szCs w:val="26"/>
        </w:rPr>
        <w:t>Cắt giảm 22 ngành nghề kinh doanh có điều kiện</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Đây là một nội dung mới rất quan trọng thu hút sự quan tâm của giới Doanh nhân. Việc Quốc hội quyết định tiếp tục cắt giảm 22 ngành, nghề đầu tư kinh doanh có điều kiện nhằm góp phần xóa bỏ rào cản trong hoạt động kinh doanh; bảo đảm quyền tự do kinh doanh của người dân, doanh nghiệp trong những ngành, nghề mà luật không cấm.</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Bên cạnh đó, Luật cũng quy định Danh mục ngành, nghề tiếp cận thị trường có điều kiện đối với nhà đầu tư nước ngoài theo cách tiếp cận chọn bỏ nhằm thể chế hóa Nghị quyết số 50 của Bộ Chính trị, góp phần nâng cao tính minh bạch, khả thi trong việc áp dụng cam kết về mở cửa thị trường của Việt Nam theo các Hiệp định thương mại tự do thế hệ mới.</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b/>
          <w:bCs/>
          <w:color w:val="333333"/>
          <w:sz w:val="26"/>
          <w:szCs w:val="26"/>
        </w:rPr>
        <w:t>Sửa đổi, bổ sung các ngành, nghề ưu đãi đầu tư, nhằm bảo đảm thu hút đầu tư nước ngoài có chọn lọc, chất lượng</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Về ưu đãi, hỗ trợ đầu tư, Luật đã sửa đổi, bổ sung các ngành, nghề ưu đãi đầu tư nhằm bảo đảm thu hút đầu tư FDI có chọn lọc, chất lượng theo Nghị quyết số 50 của Bộ Chính trị, đồng thời bảo đảm tính thống nhất, đồng bộ trong việc thực hiện chính sách ưu đãi, hỗ trợ đầu tư theo quy định của Luật Đầu tư, các Luật thuế và các Luật liên quan. Cụ thể như:</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Bổ sung một số ngành, nghề ưu đãi đầu tư (như hoạt động đổi mới sáng tạo; sản xuất hàng hóa hoặc cung cấp dịch vụ tham gia chuỗi giá trị, cụm liên kết ngành).</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Bổ sung quy định về nguyên tắc, điều kiện áp dụng chính sách ưu đãi đầu tư để bảo đảm hiệu quả, chất lượng của việc thực hiện chính sách này (như: áp dụng ưu đãi có thời hạn, theo kết quả thực hiện dự án; nhà đầu tư phải bảo đảm đáp ứng điều kiện ưu đãi trong thời gian được hưởng ưu đãi theo quy định của pháp luật).</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Đặc biệt, Luật Đầu tư (sửa đổi) bổ sung quy định cho phép Thủ tướng Chính phủ áp dụng ưu đãi đặc biệt để tạo cơ chế, chính sách đủ sức hấp dẫn, kịp thời thu hút dòng vốn FDI đang dịch chuyển nhanh chóng trong bối cảnh hiện nay.</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Theo đó, cho phép áp dụng ưu đãi tối đa thêm 50% so với mức cao nhất theo quy định của Luật hiện hành.</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b/>
          <w:bCs/>
          <w:color w:val="333333"/>
          <w:sz w:val="26"/>
          <w:szCs w:val="26"/>
        </w:rPr>
        <w:t>Cải cách thủ tục, mở rộng quyền tự chủ của nhà đầu tư</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Luật Đầu tư sửa đổi vừa được Quốc hội thông qua đã có cải cách thủ tục đầu tư so với Luật hiện hành.</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lastRenderedPageBreak/>
        <w:t>Theo đó, tiếp tục cải cách thủ tục hành chính, bãi bỏ các thủ tục hành chính không cần thiết, như: thủ tục chấp thuận chủ trương đầu tư đối với một số dự án đầu tư của cá nhân, hộ gia đình, bãi bỏ quy định Thủ tướng Chính phủ chấp thuận chủ trương đầu tư đối với dự án có quy mô vốn từ 5.000 tỷ đồng…</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Đồng thời, tăng cường phân cấp cho UBND cấp tỉnh chấp thuận chủ trương đầu tư, đơn cử như với dự án sân golf…</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Bên cạnh đó, Luật cũng cải cách, đơn giản hóa các thủ tục triển khai dự án đầu tư, mở rộng quyền tự chủ của nhà đầu tư trong quá trình thực hiện dự án, như quyền chia, tách, hợp nhất, sáp nhập, chuyển nhượng dự án….</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b/>
          <w:bCs/>
          <w:color w:val="333333"/>
          <w:sz w:val="26"/>
          <w:szCs w:val="26"/>
        </w:rPr>
        <w:t>Bổ sung các công cụ cần thiết nhằm nâng cao hiệu lực, hiệu quả quản lý nhà nước về đầu tư, bảo đảm an ninh quốc phòng</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Đáng chú ý, Luật đã hoàn thiện, bổ sung các công cụ cần thiết nhằm nâng cao hiệu lực, hiệu quả quản lý nhà nước về đầu tư, bảo đảm an ninh quốc phòng theo hướng xem xét các điều kiện an ninh, quốc phòng trong trường hợp nhà đầu tư nước ngoài đầu tư theo hình thức thành lập DN, góp vốn, mua cổ phần, mua phần vốn góp tại các DN ở đảo, xã, phường, thị trấn biên giới, ven biển hoặc các khu vực nhạy cảm về an ninh, quốc phòng. Cụ thể:</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Xem xét các điều kiện an ninh, quốc phòng trong trường hợp nhà đầu tư nước ngoài đầu tư theo hình thức thành lập doanh nghiệp, góp vốn, mua cổ phần, mua phần vốn góp tại các doanh nghiệp ở đảo, xã, phường, thị trấn biên giới, ven biển hoặc các khu vực nhạy cảm về an ninh, quốc phòng.</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Bổ sung quy định về giám định vốn đầu tư trong trường hợp cần thiết để xác định căn cứ tính thuế, góp phần hạn chế tình trạng chuyển giá, trốn thuế.</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Bổ sung quy định không gia hạn thực hiện dự án đầu tư đối với các dự án sử dụng công nghệ lạc hậu, tiềm ẩn nguy cơ gây ô nhiễm môi trường, thâm dụng tài nguyên và dự án có điều kiện chuyển giao không bồi hoàn.</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Bổ sung quy định mới về chấm dứt hoạt động của dự án đầu tư trong trường hợp nhà đầu tư thực hiện hoạt động đầu tư trên cơ sở giao dịch giả tạo về vốn nhằm tạo cơ sở pháp lý để xử lý các trường hợp đầu tư chui, đầu tư núp bóng.</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b/>
          <w:bCs/>
          <w:color w:val="333333"/>
          <w:sz w:val="26"/>
          <w:szCs w:val="26"/>
        </w:rPr>
        <w:t>Bảo đảm tính thống nhất, đồng bộ của hệ thống pháp luật</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Luật này đã góp phần khắc phục những bất cập đang là điểm nghẽn đối với môi trường kinh doanh do sự trùng lặp, chồng chéo hoặc thiếu rõ ràng giữa các luật liên quan đến đầu tư, kinh doanh. Theo đó, Luật đã sửa đổi 10 nhóm quy định để bảo đảm tính thống nhất với các Luật liên quan, đồng thời sửa đổi 05 Luật có liên quan để đồng bộ với quy định của Luật Đầu tư, gồm Luật Nhà ở, Luật Xây dựng, Luật Kinh doanh bất động sản, Luật Thuế thu nhập doanh nghiệp, Luật Điện ảnh).</w:t>
      </w:r>
    </w:p>
    <w:p w:rsidR="00DC3246" w:rsidRPr="00DC3246" w:rsidRDefault="00DC3246" w:rsidP="00D242AF">
      <w:pPr>
        <w:spacing w:line="240" w:lineRule="auto"/>
        <w:ind w:firstLine="567"/>
        <w:jc w:val="both"/>
        <w:textAlignment w:val="baseline"/>
        <w:rPr>
          <w:rFonts w:ascii="Times New Roman" w:eastAsia="Times New Roman" w:hAnsi="Times New Roman" w:cs="Times New Roman"/>
          <w:color w:val="333333"/>
          <w:sz w:val="26"/>
          <w:szCs w:val="26"/>
        </w:rPr>
      </w:pPr>
      <w:r w:rsidRPr="00DC3246">
        <w:rPr>
          <w:rFonts w:ascii="Times New Roman" w:eastAsia="Times New Roman" w:hAnsi="Times New Roman" w:cs="Times New Roman"/>
          <w:color w:val="333333"/>
          <w:sz w:val="26"/>
          <w:szCs w:val="26"/>
        </w:rPr>
        <w:t>– Luật đã làm rõ nguyên tắc, điều kiện áp dụng từng hình thức lựa chọn nhà đầu tư thực hiện dự án có sử dụng đất, gồm: (i) đấu giá quyền sử dụng đất; (ii) đấu thầu lựa chọn nhà đầu tư; (iii) chấp thuận nhà đầu tư, chủ trương đầu tư theo Luật Đầu tư.</w:t>
      </w:r>
    </w:p>
    <w:p w:rsidR="004C63F9" w:rsidRPr="00DC3246" w:rsidRDefault="004C63F9">
      <w:pPr>
        <w:rPr>
          <w:rFonts w:ascii="Times New Roman" w:hAnsi="Times New Roman" w:cs="Times New Roman"/>
          <w:sz w:val="26"/>
          <w:szCs w:val="26"/>
        </w:rPr>
      </w:pPr>
      <w:bookmarkStart w:id="0" w:name="_GoBack"/>
      <w:bookmarkEnd w:id="0"/>
    </w:p>
    <w:p w:rsidR="00DC3246" w:rsidRPr="00DC3246" w:rsidRDefault="00DC3246">
      <w:pPr>
        <w:rPr>
          <w:rFonts w:ascii="Times New Roman" w:hAnsi="Times New Roman" w:cs="Times New Roman"/>
          <w:sz w:val="26"/>
          <w:szCs w:val="26"/>
        </w:rPr>
      </w:pPr>
    </w:p>
    <w:sectPr w:rsidR="00DC3246" w:rsidRPr="00DC3246" w:rsidSect="00D242AF">
      <w:pgSz w:w="12240" w:h="15840"/>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46"/>
    <w:rsid w:val="004C63F9"/>
    <w:rsid w:val="00D242AF"/>
    <w:rsid w:val="00DC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246"/>
    <w:rPr>
      <w:rFonts w:ascii="Times New Roman" w:eastAsia="Times New Roman" w:hAnsi="Times New Roman" w:cs="Times New Roman"/>
      <w:b/>
      <w:bCs/>
      <w:kern w:val="36"/>
      <w:sz w:val="48"/>
      <w:szCs w:val="48"/>
    </w:rPr>
  </w:style>
  <w:style w:type="paragraph" w:customStyle="1" w:styleId="date-post">
    <w:name w:val="date-post"/>
    <w:basedOn w:val="Normal"/>
    <w:rsid w:val="00DC32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246"/>
    <w:rPr>
      <w:color w:val="0000FF"/>
      <w:u w:val="single"/>
    </w:rPr>
  </w:style>
  <w:style w:type="paragraph" w:styleId="NormalWeb">
    <w:name w:val="Normal (Web)"/>
    <w:basedOn w:val="Normal"/>
    <w:uiPriority w:val="99"/>
    <w:semiHidden/>
    <w:unhideWhenUsed/>
    <w:rsid w:val="00DC32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3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246"/>
    <w:rPr>
      <w:rFonts w:ascii="Times New Roman" w:eastAsia="Times New Roman" w:hAnsi="Times New Roman" w:cs="Times New Roman"/>
      <w:b/>
      <w:bCs/>
      <w:kern w:val="36"/>
      <w:sz w:val="48"/>
      <w:szCs w:val="48"/>
    </w:rPr>
  </w:style>
  <w:style w:type="paragraph" w:customStyle="1" w:styleId="date-post">
    <w:name w:val="date-post"/>
    <w:basedOn w:val="Normal"/>
    <w:rsid w:val="00DC32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246"/>
    <w:rPr>
      <w:color w:val="0000FF"/>
      <w:u w:val="single"/>
    </w:rPr>
  </w:style>
  <w:style w:type="paragraph" w:styleId="NormalWeb">
    <w:name w:val="Normal (Web)"/>
    <w:basedOn w:val="Normal"/>
    <w:uiPriority w:val="99"/>
    <w:semiHidden/>
    <w:unhideWhenUsed/>
    <w:rsid w:val="00DC32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3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16063">
      <w:bodyDiv w:val="1"/>
      <w:marLeft w:val="0"/>
      <w:marRight w:val="0"/>
      <w:marTop w:val="0"/>
      <w:marBottom w:val="0"/>
      <w:divBdr>
        <w:top w:val="none" w:sz="0" w:space="0" w:color="auto"/>
        <w:left w:val="none" w:sz="0" w:space="0" w:color="auto"/>
        <w:bottom w:val="none" w:sz="0" w:space="0" w:color="auto"/>
        <w:right w:val="none" w:sz="0" w:space="0" w:color="auto"/>
      </w:divBdr>
      <w:divsChild>
        <w:div w:id="750196721">
          <w:marLeft w:val="0"/>
          <w:marRight w:val="0"/>
          <w:marTop w:val="0"/>
          <w:marBottom w:val="150"/>
          <w:divBdr>
            <w:top w:val="none" w:sz="0" w:space="0" w:color="auto"/>
            <w:left w:val="none" w:sz="0" w:space="0" w:color="auto"/>
            <w:bottom w:val="none" w:sz="0" w:space="0" w:color="auto"/>
            <w:right w:val="none" w:sz="0" w:space="0" w:color="auto"/>
          </w:divBdr>
          <w:divsChild>
            <w:div w:id="1986356592">
              <w:marLeft w:val="0"/>
              <w:marRight w:val="0"/>
              <w:marTop w:val="0"/>
              <w:marBottom w:val="150"/>
              <w:divBdr>
                <w:top w:val="none" w:sz="0" w:space="0" w:color="auto"/>
                <w:left w:val="none" w:sz="0" w:space="0" w:color="auto"/>
                <w:bottom w:val="none" w:sz="0" w:space="0" w:color="auto"/>
                <w:right w:val="none" w:sz="0" w:space="0" w:color="auto"/>
              </w:divBdr>
            </w:div>
          </w:divsChild>
        </w:div>
        <w:div w:id="1715933377">
          <w:marLeft w:val="0"/>
          <w:marRight w:val="0"/>
          <w:marTop w:val="0"/>
          <w:marBottom w:val="150"/>
          <w:divBdr>
            <w:top w:val="none" w:sz="0" w:space="0" w:color="auto"/>
            <w:left w:val="none" w:sz="0" w:space="0" w:color="auto"/>
            <w:bottom w:val="none" w:sz="0" w:space="0" w:color="auto"/>
            <w:right w:val="none" w:sz="0" w:space="0" w:color="auto"/>
          </w:divBdr>
          <w:divsChild>
            <w:div w:id="427779629">
              <w:marLeft w:val="0"/>
              <w:marRight w:val="0"/>
              <w:marTop w:val="0"/>
              <w:marBottom w:val="150"/>
              <w:divBdr>
                <w:top w:val="none" w:sz="0" w:space="0" w:color="auto"/>
                <w:left w:val="none" w:sz="0" w:space="0" w:color="auto"/>
                <w:bottom w:val="none" w:sz="0" w:space="0" w:color="auto"/>
                <w:right w:val="none" w:sz="0" w:space="0" w:color="auto"/>
              </w:divBdr>
              <w:divsChild>
                <w:div w:id="756441155">
                  <w:marLeft w:val="0"/>
                  <w:marRight w:val="0"/>
                  <w:marTop w:val="0"/>
                  <w:marBottom w:val="150"/>
                  <w:divBdr>
                    <w:top w:val="none" w:sz="0" w:space="0" w:color="auto"/>
                    <w:left w:val="none" w:sz="0" w:space="0" w:color="auto"/>
                    <w:bottom w:val="none" w:sz="0" w:space="0" w:color="auto"/>
                    <w:right w:val="none" w:sz="0" w:space="0" w:color="auto"/>
                  </w:divBdr>
                  <w:divsChild>
                    <w:div w:id="351609737">
                      <w:marLeft w:val="0"/>
                      <w:marRight w:val="0"/>
                      <w:marTop w:val="0"/>
                      <w:marBottom w:val="150"/>
                      <w:divBdr>
                        <w:top w:val="none" w:sz="0" w:space="0" w:color="auto"/>
                        <w:left w:val="none" w:sz="0" w:space="0" w:color="auto"/>
                        <w:bottom w:val="none" w:sz="0" w:space="0" w:color="auto"/>
                        <w:right w:val="none" w:sz="0" w:space="0" w:color="auto"/>
                      </w:divBdr>
                    </w:div>
                    <w:div w:id="1079599189">
                      <w:marLeft w:val="0"/>
                      <w:marRight w:val="0"/>
                      <w:marTop w:val="0"/>
                      <w:marBottom w:val="150"/>
                      <w:divBdr>
                        <w:top w:val="none" w:sz="0" w:space="0" w:color="auto"/>
                        <w:left w:val="none" w:sz="0" w:space="0" w:color="auto"/>
                        <w:bottom w:val="none" w:sz="0" w:space="0" w:color="auto"/>
                        <w:right w:val="none" w:sz="0" w:space="0" w:color="auto"/>
                      </w:divBdr>
                    </w:div>
                    <w:div w:id="1399090915">
                      <w:marLeft w:val="0"/>
                      <w:marRight w:val="0"/>
                      <w:marTop w:val="0"/>
                      <w:marBottom w:val="150"/>
                      <w:divBdr>
                        <w:top w:val="none" w:sz="0" w:space="0" w:color="auto"/>
                        <w:left w:val="none" w:sz="0" w:space="0" w:color="auto"/>
                        <w:bottom w:val="none" w:sz="0" w:space="0" w:color="auto"/>
                        <w:right w:val="none" w:sz="0" w:space="0" w:color="auto"/>
                      </w:divBdr>
                    </w:div>
                    <w:div w:id="639846301">
                      <w:marLeft w:val="0"/>
                      <w:marRight w:val="0"/>
                      <w:marTop w:val="0"/>
                      <w:marBottom w:val="150"/>
                      <w:divBdr>
                        <w:top w:val="none" w:sz="0" w:space="0" w:color="auto"/>
                        <w:left w:val="none" w:sz="0" w:space="0" w:color="auto"/>
                        <w:bottom w:val="none" w:sz="0" w:space="0" w:color="auto"/>
                        <w:right w:val="none" w:sz="0" w:space="0" w:color="auto"/>
                      </w:divBdr>
                    </w:div>
                    <w:div w:id="1553540882">
                      <w:marLeft w:val="0"/>
                      <w:marRight w:val="0"/>
                      <w:marTop w:val="0"/>
                      <w:marBottom w:val="150"/>
                      <w:divBdr>
                        <w:top w:val="none" w:sz="0" w:space="0" w:color="auto"/>
                        <w:left w:val="none" w:sz="0" w:space="0" w:color="auto"/>
                        <w:bottom w:val="none" w:sz="0" w:space="0" w:color="auto"/>
                        <w:right w:val="none" w:sz="0" w:space="0" w:color="auto"/>
                      </w:divBdr>
                    </w:div>
                    <w:div w:id="1633709806">
                      <w:marLeft w:val="0"/>
                      <w:marRight w:val="0"/>
                      <w:marTop w:val="0"/>
                      <w:marBottom w:val="150"/>
                      <w:divBdr>
                        <w:top w:val="none" w:sz="0" w:space="0" w:color="auto"/>
                        <w:left w:val="none" w:sz="0" w:space="0" w:color="auto"/>
                        <w:bottom w:val="none" w:sz="0" w:space="0" w:color="auto"/>
                        <w:right w:val="none" w:sz="0" w:space="0" w:color="auto"/>
                      </w:divBdr>
                    </w:div>
                    <w:div w:id="1151756773">
                      <w:marLeft w:val="0"/>
                      <w:marRight w:val="0"/>
                      <w:marTop w:val="0"/>
                      <w:marBottom w:val="150"/>
                      <w:divBdr>
                        <w:top w:val="none" w:sz="0" w:space="0" w:color="auto"/>
                        <w:left w:val="none" w:sz="0" w:space="0" w:color="auto"/>
                        <w:bottom w:val="none" w:sz="0" w:space="0" w:color="auto"/>
                        <w:right w:val="none" w:sz="0" w:space="0" w:color="auto"/>
                      </w:divBdr>
                    </w:div>
                    <w:div w:id="290330821">
                      <w:marLeft w:val="0"/>
                      <w:marRight w:val="0"/>
                      <w:marTop w:val="0"/>
                      <w:marBottom w:val="150"/>
                      <w:divBdr>
                        <w:top w:val="none" w:sz="0" w:space="0" w:color="auto"/>
                        <w:left w:val="none" w:sz="0" w:space="0" w:color="auto"/>
                        <w:bottom w:val="none" w:sz="0" w:space="0" w:color="auto"/>
                        <w:right w:val="none" w:sz="0" w:space="0" w:color="auto"/>
                      </w:divBdr>
                    </w:div>
                    <w:div w:id="1592859417">
                      <w:marLeft w:val="0"/>
                      <w:marRight w:val="0"/>
                      <w:marTop w:val="0"/>
                      <w:marBottom w:val="150"/>
                      <w:divBdr>
                        <w:top w:val="none" w:sz="0" w:space="0" w:color="auto"/>
                        <w:left w:val="none" w:sz="0" w:space="0" w:color="auto"/>
                        <w:bottom w:val="none" w:sz="0" w:space="0" w:color="auto"/>
                        <w:right w:val="none" w:sz="0" w:space="0" w:color="auto"/>
                      </w:divBdr>
                    </w:div>
                    <w:div w:id="612636387">
                      <w:marLeft w:val="0"/>
                      <w:marRight w:val="0"/>
                      <w:marTop w:val="0"/>
                      <w:marBottom w:val="150"/>
                      <w:divBdr>
                        <w:top w:val="none" w:sz="0" w:space="0" w:color="auto"/>
                        <w:left w:val="none" w:sz="0" w:space="0" w:color="auto"/>
                        <w:bottom w:val="none" w:sz="0" w:space="0" w:color="auto"/>
                        <w:right w:val="none" w:sz="0" w:space="0" w:color="auto"/>
                      </w:divBdr>
                    </w:div>
                    <w:div w:id="128323796">
                      <w:marLeft w:val="0"/>
                      <w:marRight w:val="0"/>
                      <w:marTop w:val="0"/>
                      <w:marBottom w:val="150"/>
                      <w:divBdr>
                        <w:top w:val="none" w:sz="0" w:space="0" w:color="auto"/>
                        <w:left w:val="none" w:sz="0" w:space="0" w:color="auto"/>
                        <w:bottom w:val="none" w:sz="0" w:space="0" w:color="auto"/>
                        <w:right w:val="none" w:sz="0" w:space="0" w:color="auto"/>
                      </w:divBdr>
                    </w:div>
                    <w:div w:id="252012789">
                      <w:marLeft w:val="0"/>
                      <w:marRight w:val="0"/>
                      <w:marTop w:val="0"/>
                      <w:marBottom w:val="150"/>
                      <w:divBdr>
                        <w:top w:val="none" w:sz="0" w:space="0" w:color="auto"/>
                        <w:left w:val="none" w:sz="0" w:space="0" w:color="auto"/>
                        <w:bottom w:val="none" w:sz="0" w:space="0" w:color="auto"/>
                        <w:right w:val="none" w:sz="0" w:space="0" w:color="auto"/>
                      </w:divBdr>
                    </w:div>
                    <w:div w:id="398136947">
                      <w:marLeft w:val="0"/>
                      <w:marRight w:val="0"/>
                      <w:marTop w:val="0"/>
                      <w:marBottom w:val="150"/>
                      <w:divBdr>
                        <w:top w:val="none" w:sz="0" w:space="0" w:color="auto"/>
                        <w:left w:val="none" w:sz="0" w:space="0" w:color="auto"/>
                        <w:bottom w:val="none" w:sz="0" w:space="0" w:color="auto"/>
                        <w:right w:val="none" w:sz="0" w:space="0" w:color="auto"/>
                      </w:divBdr>
                    </w:div>
                    <w:div w:id="1271546369">
                      <w:marLeft w:val="0"/>
                      <w:marRight w:val="0"/>
                      <w:marTop w:val="0"/>
                      <w:marBottom w:val="150"/>
                      <w:divBdr>
                        <w:top w:val="none" w:sz="0" w:space="0" w:color="auto"/>
                        <w:left w:val="none" w:sz="0" w:space="0" w:color="auto"/>
                        <w:bottom w:val="none" w:sz="0" w:space="0" w:color="auto"/>
                        <w:right w:val="none" w:sz="0" w:space="0" w:color="auto"/>
                      </w:divBdr>
                    </w:div>
                    <w:div w:id="1084104275">
                      <w:marLeft w:val="0"/>
                      <w:marRight w:val="0"/>
                      <w:marTop w:val="0"/>
                      <w:marBottom w:val="150"/>
                      <w:divBdr>
                        <w:top w:val="none" w:sz="0" w:space="0" w:color="auto"/>
                        <w:left w:val="none" w:sz="0" w:space="0" w:color="auto"/>
                        <w:bottom w:val="none" w:sz="0" w:space="0" w:color="auto"/>
                        <w:right w:val="none" w:sz="0" w:space="0" w:color="auto"/>
                      </w:divBdr>
                    </w:div>
                    <w:div w:id="1563248246">
                      <w:marLeft w:val="0"/>
                      <w:marRight w:val="0"/>
                      <w:marTop w:val="0"/>
                      <w:marBottom w:val="150"/>
                      <w:divBdr>
                        <w:top w:val="none" w:sz="0" w:space="0" w:color="auto"/>
                        <w:left w:val="none" w:sz="0" w:space="0" w:color="auto"/>
                        <w:bottom w:val="none" w:sz="0" w:space="0" w:color="auto"/>
                        <w:right w:val="none" w:sz="0" w:space="0" w:color="auto"/>
                      </w:divBdr>
                    </w:div>
                    <w:div w:id="805128962">
                      <w:marLeft w:val="0"/>
                      <w:marRight w:val="0"/>
                      <w:marTop w:val="0"/>
                      <w:marBottom w:val="150"/>
                      <w:divBdr>
                        <w:top w:val="none" w:sz="0" w:space="0" w:color="auto"/>
                        <w:left w:val="none" w:sz="0" w:space="0" w:color="auto"/>
                        <w:bottom w:val="none" w:sz="0" w:space="0" w:color="auto"/>
                        <w:right w:val="none" w:sz="0" w:space="0" w:color="auto"/>
                      </w:divBdr>
                    </w:div>
                    <w:div w:id="947662545">
                      <w:marLeft w:val="0"/>
                      <w:marRight w:val="0"/>
                      <w:marTop w:val="0"/>
                      <w:marBottom w:val="150"/>
                      <w:divBdr>
                        <w:top w:val="none" w:sz="0" w:space="0" w:color="auto"/>
                        <w:left w:val="none" w:sz="0" w:space="0" w:color="auto"/>
                        <w:bottom w:val="none" w:sz="0" w:space="0" w:color="auto"/>
                        <w:right w:val="none" w:sz="0" w:space="0" w:color="auto"/>
                      </w:divBdr>
                    </w:div>
                    <w:div w:id="624849215">
                      <w:marLeft w:val="0"/>
                      <w:marRight w:val="0"/>
                      <w:marTop w:val="0"/>
                      <w:marBottom w:val="150"/>
                      <w:divBdr>
                        <w:top w:val="none" w:sz="0" w:space="0" w:color="auto"/>
                        <w:left w:val="none" w:sz="0" w:space="0" w:color="auto"/>
                        <w:bottom w:val="none" w:sz="0" w:space="0" w:color="auto"/>
                        <w:right w:val="none" w:sz="0" w:space="0" w:color="auto"/>
                      </w:divBdr>
                    </w:div>
                    <w:div w:id="553858916">
                      <w:marLeft w:val="0"/>
                      <w:marRight w:val="0"/>
                      <w:marTop w:val="0"/>
                      <w:marBottom w:val="150"/>
                      <w:divBdr>
                        <w:top w:val="none" w:sz="0" w:space="0" w:color="auto"/>
                        <w:left w:val="none" w:sz="0" w:space="0" w:color="auto"/>
                        <w:bottom w:val="none" w:sz="0" w:space="0" w:color="auto"/>
                        <w:right w:val="none" w:sz="0" w:space="0" w:color="auto"/>
                      </w:divBdr>
                    </w:div>
                    <w:div w:id="60760253">
                      <w:marLeft w:val="0"/>
                      <w:marRight w:val="0"/>
                      <w:marTop w:val="0"/>
                      <w:marBottom w:val="150"/>
                      <w:divBdr>
                        <w:top w:val="none" w:sz="0" w:space="0" w:color="auto"/>
                        <w:left w:val="none" w:sz="0" w:space="0" w:color="auto"/>
                        <w:bottom w:val="none" w:sz="0" w:space="0" w:color="auto"/>
                        <w:right w:val="none" w:sz="0" w:space="0" w:color="auto"/>
                      </w:divBdr>
                    </w:div>
                    <w:div w:id="2045017772">
                      <w:marLeft w:val="0"/>
                      <w:marRight w:val="0"/>
                      <w:marTop w:val="0"/>
                      <w:marBottom w:val="150"/>
                      <w:divBdr>
                        <w:top w:val="none" w:sz="0" w:space="0" w:color="auto"/>
                        <w:left w:val="none" w:sz="0" w:space="0" w:color="auto"/>
                        <w:bottom w:val="none" w:sz="0" w:space="0" w:color="auto"/>
                        <w:right w:val="none" w:sz="0" w:space="0" w:color="auto"/>
                      </w:divBdr>
                      <w:divsChild>
                        <w:div w:id="1950626254">
                          <w:marLeft w:val="0"/>
                          <w:marRight w:val="0"/>
                          <w:marTop w:val="0"/>
                          <w:marBottom w:val="150"/>
                          <w:divBdr>
                            <w:top w:val="none" w:sz="0" w:space="0" w:color="auto"/>
                            <w:left w:val="none" w:sz="0" w:space="0" w:color="auto"/>
                            <w:bottom w:val="none" w:sz="0" w:space="0" w:color="auto"/>
                            <w:right w:val="none" w:sz="0" w:space="0" w:color="auto"/>
                          </w:divBdr>
                        </w:div>
                        <w:div w:id="963779008">
                          <w:marLeft w:val="0"/>
                          <w:marRight w:val="0"/>
                          <w:marTop w:val="0"/>
                          <w:marBottom w:val="150"/>
                          <w:divBdr>
                            <w:top w:val="none" w:sz="0" w:space="0" w:color="auto"/>
                            <w:left w:val="none" w:sz="0" w:space="0" w:color="auto"/>
                            <w:bottom w:val="none" w:sz="0" w:space="0" w:color="auto"/>
                            <w:right w:val="none" w:sz="0" w:space="0" w:color="auto"/>
                          </w:divBdr>
                        </w:div>
                        <w:div w:id="1918633450">
                          <w:marLeft w:val="0"/>
                          <w:marRight w:val="0"/>
                          <w:marTop w:val="0"/>
                          <w:marBottom w:val="150"/>
                          <w:divBdr>
                            <w:top w:val="none" w:sz="0" w:space="0" w:color="auto"/>
                            <w:left w:val="none" w:sz="0" w:space="0" w:color="auto"/>
                            <w:bottom w:val="none" w:sz="0" w:space="0" w:color="auto"/>
                            <w:right w:val="none" w:sz="0" w:space="0" w:color="auto"/>
                          </w:divBdr>
                        </w:div>
                        <w:div w:id="2079013500">
                          <w:marLeft w:val="0"/>
                          <w:marRight w:val="0"/>
                          <w:marTop w:val="0"/>
                          <w:marBottom w:val="150"/>
                          <w:divBdr>
                            <w:top w:val="none" w:sz="0" w:space="0" w:color="auto"/>
                            <w:left w:val="none" w:sz="0" w:space="0" w:color="auto"/>
                            <w:bottom w:val="none" w:sz="0" w:space="0" w:color="auto"/>
                            <w:right w:val="none" w:sz="0" w:space="0" w:color="auto"/>
                          </w:divBdr>
                        </w:div>
                        <w:div w:id="1132209967">
                          <w:marLeft w:val="0"/>
                          <w:marRight w:val="0"/>
                          <w:marTop w:val="0"/>
                          <w:marBottom w:val="150"/>
                          <w:divBdr>
                            <w:top w:val="none" w:sz="0" w:space="0" w:color="auto"/>
                            <w:left w:val="none" w:sz="0" w:space="0" w:color="auto"/>
                            <w:bottom w:val="none" w:sz="0" w:space="0" w:color="auto"/>
                            <w:right w:val="none" w:sz="0" w:space="0" w:color="auto"/>
                          </w:divBdr>
                        </w:div>
                        <w:div w:id="1323007155">
                          <w:marLeft w:val="0"/>
                          <w:marRight w:val="0"/>
                          <w:marTop w:val="0"/>
                          <w:marBottom w:val="150"/>
                          <w:divBdr>
                            <w:top w:val="none" w:sz="0" w:space="0" w:color="auto"/>
                            <w:left w:val="none" w:sz="0" w:space="0" w:color="auto"/>
                            <w:bottom w:val="none" w:sz="0" w:space="0" w:color="auto"/>
                            <w:right w:val="none" w:sz="0" w:space="0" w:color="auto"/>
                          </w:divBdr>
                        </w:div>
                        <w:div w:id="2081974979">
                          <w:marLeft w:val="0"/>
                          <w:marRight w:val="0"/>
                          <w:marTop w:val="0"/>
                          <w:marBottom w:val="150"/>
                          <w:divBdr>
                            <w:top w:val="none" w:sz="0" w:space="0" w:color="auto"/>
                            <w:left w:val="none" w:sz="0" w:space="0" w:color="auto"/>
                            <w:bottom w:val="none" w:sz="0" w:space="0" w:color="auto"/>
                            <w:right w:val="none" w:sz="0" w:space="0" w:color="auto"/>
                          </w:divBdr>
                        </w:div>
                        <w:div w:id="2138058158">
                          <w:marLeft w:val="0"/>
                          <w:marRight w:val="0"/>
                          <w:marTop w:val="0"/>
                          <w:marBottom w:val="150"/>
                          <w:divBdr>
                            <w:top w:val="none" w:sz="0" w:space="0" w:color="auto"/>
                            <w:left w:val="none" w:sz="0" w:space="0" w:color="auto"/>
                            <w:bottom w:val="none" w:sz="0" w:space="0" w:color="auto"/>
                            <w:right w:val="none" w:sz="0" w:space="0" w:color="auto"/>
                          </w:divBdr>
                          <w:divsChild>
                            <w:div w:id="1483034737">
                              <w:marLeft w:val="0"/>
                              <w:marRight w:val="0"/>
                              <w:marTop w:val="0"/>
                              <w:marBottom w:val="150"/>
                              <w:divBdr>
                                <w:top w:val="none" w:sz="0" w:space="0" w:color="auto"/>
                                <w:left w:val="none" w:sz="0" w:space="0" w:color="auto"/>
                                <w:bottom w:val="none" w:sz="0" w:space="0" w:color="auto"/>
                                <w:right w:val="none" w:sz="0" w:space="0" w:color="auto"/>
                              </w:divBdr>
                            </w:div>
                            <w:div w:id="469177145">
                              <w:marLeft w:val="0"/>
                              <w:marRight w:val="0"/>
                              <w:marTop w:val="0"/>
                              <w:marBottom w:val="150"/>
                              <w:divBdr>
                                <w:top w:val="none" w:sz="0" w:space="0" w:color="auto"/>
                                <w:left w:val="none" w:sz="0" w:space="0" w:color="auto"/>
                                <w:bottom w:val="none" w:sz="0" w:space="0" w:color="auto"/>
                                <w:right w:val="none" w:sz="0" w:space="0" w:color="auto"/>
                              </w:divBdr>
                            </w:div>
                            <w:div w:id="1961569266">
                              <w:marLeft w:val="0"/>
                              <w:marRight w:val="0"/>
                              <w:marTop w:val="0"/>
                              <w:marBottom w:val="150"/>
                              <w:divBdr>
                                <w:top w:val="none" w:sz="0" w:space="0" w:color="auto"/>
                                <w:left w:val="none" w:sz="0" w:space="0" w:color="auto"/>
                                <w:bottom w:val="none" w:sz="0" w:space="0" w:color="auto"/>
                                <w:right w:val="none" w:sz="0" w:space="0" w:color="auto"/>
                              </w:divBdr>
                            </w:div>
                            <w:div w:id="1762096769">
                              <w:marLeft w:val="0"/>
                              <w:marRight w:val="0"/>
                              <w:marTop w:val="0"/>
                              <w:marBottom w:val="150"/>
                              <w:divBdr>
                                <w:top w:val="none" w:sz="0" w:space="0" w:color="auto"/>
                                <w:left w:val="none" w:sz="0" w:space="0" w:color="auto"/>
                                <w:bottom w:val="none" w:sz="0" w:space="0" w:color="auto"/>
                                <w:right w:val="none" w:sz="0" w:space="0" w:color="auto"/>
                              </w:divBdr>
                            </w:div>
                            <w:div w:id="1347170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2023-02-27T16:00:00Z</dcterms:created>
  <dcterms:modified xsi:type="dcterms:W3CDTF">2023-03-11T07:03:00Z</dcterms:modified>
</cp:coreProperties>
</file>